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F6" w:rsidRPr="0081254C" w:rsidRDefault="005C72F6" w:rsidP="003A2326">
      <w:pPr>
        <w:pStyle w:val="Title"/>
        <w:rPr>
          <w:rFonts w:eastAsia="Times New Roman"/>
          <w:color w:val="auto"/>
          <w:lang w:eastAsia="en-GB"/>
        </w:rPr>
      </w:pPr>
      <w:r w:rsidRPr="0081254C">
        <w:rPr>
          <w:rFonts w:eastAsia="Times New Roman"/>
          <w:color w:val="auto"/>
          <w:lang w:eastAsia="en-GB"/>
        </w:rPr>
        <w:t>Privacy Policy</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We are very delighted that you have shown interest in our enterprise. Data protection is of a particularly high priority for the management of the Mountbatton Care. The use of the Internet pages of the Mountbatton Care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The processing of personal data, such as the name, address, e-mail address, or telephone number of a data subject shall always be in line with the General Data Protection Regulation (</w:t>
      </w:r>
      <w:r w:rsidR="003A2326" w:rsidRPr="0081254C">
        <w:rPr>
          <w:rFonts w:ascii="Arial" w:hAnsi="Arial" w:cs="Arial"/>
          <w:sz w:val="21"/>
          <w:szCs w:val="21"/>
          <w:lang w:eastAsia="en-GB"/>
        </w:rPr>
        <w:t>GDPR)</w:t>
      </w:r>
      <w:r w:rsidRPr="0081254C">
        <w:rPr>
          <w:rFonts w:ascii="Arial" w:hAnsi="Arial" w:cs="Arial"/>
          <w:sz w:val="21"/>
          <w:szCs w:val="21"/>
          <w:lang w:eastAsia="en-GB"/>
        </w:rPr>
        <w:t xml:space="preserve"> and in accordance with the country-specific data protection regulations applicable to the Mountbatton Care.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As the controller, the Mountbatton Care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1. Definitions</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The data protection declaration of the Mountbatton Care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In this data protection declaration, we use, inter alia, the following terms:</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 xml:space="preserve">1 </w:t>
      </w:r>
      <w:r w:rsidR="005C72F6" w:rsidRPr="0081254C">
        <w:rPr>
          <w:rFonts w:eastAsia="Times New Roman"/>
          <w:color w:val="auto"/>
          <w:lang w:eastAsia="en-GB"/>
        </w:rPr>
        <w:t>Personal data</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 xml:space="preserve">2 </w:t>
      </w:r>
      <w:r w:rsidRPr="0081254C">
        <w:rPr>
          <w:rFonts w:eastAsia="Times New Roman"/>
          <w:color w:val="auto"/>
          <w:lang w:eastAsia="en-GB"/>
        </w:rPr>
        <w:t>Data</w:t>
      </w:r>
      <w:r w:rsidR="005C72F6" w:rsidRPr="0081254C">
        <w:rPr>
          <w:rFonts w:eastAsia="Times New Roman"/>
          <w:color w:val="auto"/>
          <w:lang w:eastAsia="en-GB"/>
        </w:rPr>
        <w:t xml:space="preserve"> subject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Data subject is any identified or identifiable natural person, whose personal data is processed by the controller responsible for the processing.</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3</w:t>
      </w:r>
      <w:r w:rsidR="005C72F6" w:rsidRPr="0081254C">
        <w:rPr>
          <w:rFonts w:eastAsia="Times New Roman"/>
          <w:color w:val="auto"/>
          <w:lang w:eastAsia="en-GB"/>
        </w:rPr>
        <w:t xml:space="preserve"> Processing</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5C72F6" w:rsidRPr="0081254C" w:rsidRDefault="00904C23" w:rsidP="003A2326">
      <w:pPr>
        <w:pStyle w:val="Heading2"/>
        <w:rPr>
          <w:rFonts w:eastAsia="Times New Roman"/>
          <w:color w:val="auto"/>
          <w:lang w:eastAsia="en-GB"/>
        </w:rPr>
      </w:pPr>
      <w:r>
        <w:rPr>
          <w:rFonts w:eastAsia="Times New Roman"/>
          <w:color w:val="auto"/>
          <w:lang w:eastAsia="en-GB"/>
        </w:rPr>
        <w:lastRenderedPageBreak/>
        <w:t>1.</w:t>
      </w:r>
      <w:r w:rsidR="00B977E8">
        <w:rPr>
          <w:rFonts w:eastAsia="Times New Roman"/>
          <w:color w:val="auto"/>
          <w:lang w:eastAsia="en-GB"/>
        </w:rPr>
        <w:t>0</w:t>
      </w:r>
      <w:r>
        <w:rPr>
          <w:rFonts w:eastAsia="Times New Roman"/>
          <w:color w:val="auto"/>
          <w:lang w:eastAsia="en-GB"/>
        </w:rPr>
        <w:t>4</w:t>
      </w:r>
      <w:r w:rsidR="00B977E8">
        <w:rPr>
          <w:rFonts w:eastAsia="Times New Roman"/>
          <w:color w:val="auto"/>
          <w:lang w:eastAsia="en-GB"/>
        </w:rPr>
        <w:t xml:space="preserve"> </w:t>
      </w:r>
      <w:r w:rsidR="005C72F6" w:rsidRPr="0081254C">
        <w:rPr>
          <w:rFonts w:eastAsia="Times New Roman"/>
          <w:color w:val="auto"/>
          <w:lang w:eastAsia="en-GB"/>
        </w:rPr>
        <w:t>Restriction of processing</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Restriction of processing is the marking of stored personal data with the aim of limiting their processing in the future.</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5</w:t>
      </w:r>
      <w:r w:rsidR="00B977E8">
        <w:rPr>
          <w:rFonts w:eastAsia="Times New Roman"/>
          <w:color w:val="auto"/>
          <w:lang w:eastAsia="en-GB"/>
        </w:rPr>
        <w:t xml:space="preserve"> </w:t>
      </w:r>
      <w:r w:rsidR="005C72F6" w:rsidRPr="0081254C">
        <w:rPr>
          <w:rFonts w:eastAsia="Times New Roman"/>
          <w:color w:val="auto"/>
          <w:lang w:eastAsia="en-GB"/>
        </w:rPr>
        <w:t>Profiling</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6</w:t>
      </w:r>
      <w:r w:rsidR="00B977E8">
        <w:rPr>
          <w:rFonts w:eastAsia="Times New Roman"/>
          <w:color w:val="auto"/>
          <w:lang w:eastAsia="en-GB"/>
        </w:rPr>
        <w:t xml:space="preserve"> </w:t>
      </w:r>
      <w:r w:rsidR="005C72F6" w:rsidRPr="0081254C">
        <w:rPr>
          <w:rFonts w:eastAsia="Times New Roman"/>
          <w:color w:val="auto"/>
          <w:lang w:eastAsia="en-GB"/>
        </w:rPr>
        <w:t>Pseudonymisation</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7</w:t>
      </w:r>
      <w:r w:rsidR="00B977E8">
        <w:rPr>
          <w:rFonts w:eastAsia="Times New Roman"/>
          <w:color w:val="auto"/>
          <w:lang w:eastAsia="en-GB"/>
        </w:rPr>
        <w:t xml:space="preserve"> </w:t>
      </w:r>
      <w:r w:rsidR="005C72F6" w:rsidRPr="0081254C">
        <w:rPr>
          <w:rFonts w:eastAsia="Times New Roman"/>
          <w:color w:val="auto"/>
          <w:lang w:eastAsia="en-GB"/>
        </w:rPr>
        <w:t>Controller or controller responsible for the processing</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8</w:t>
      </w:r>
      <w:r w:rsidR="00B977E8">
        <w:rPr>
          <w:rFonts w:eastAsia="Times New Roman"/>
          <w:color w:val="auto"/>
          <w:lang w:eastAsia="en-GB"/>
        </w:rPr>
        <w:t xml:space="preserve"> </w:t>
      </w:r>
      <w:r w:rsidR="005C72F6" w:rsidRPr="0081254C">
        <w:rPr>
          <w:rFonts w:eastAsia="Times New Roman"/>
          <w:color w:val="auto"/>
          <w:lang w:eastAsia="en-GB"/>
        </w:rPr>
        <w:t>Processor</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Processor is a natural or legal person, public authority, agency or other body which processes personal data on behalf of the controller.</w:t>
      </w:r>
    </w:p>
    <w:p w:rsidR="005C72F6" w:rsidRPr="0081254C" w:rsidRDefault="00904C23" w:rsidP="003A2326">
      <w:pPr>
        <w:pStyle w:val="Heading2"/>
        <w:rPr>
          <w:rFonts w:eastAsia="Times New Roman"/>
          <w:color w:val="auto"/>
          <w:lang w:eastAsia="en-GB"/>
        </w:rPr>
      </w:pPr>
      <w:r>
        <w:rPr>
          <w:rFonts w:eastAsia="Times New Roman"/>
          <w:color w:val="auto"/>
          <w:lang w:eastAsia="en-GB"/>
        </w:rPr>
        <w:t>1.</w:t>
      </w:r>
      <w:r w:rsidR="00B977E8">
        <w:rPr>
          <w:rFonts w:eastAsia="Times New Roman"/>
          <w:color w:val="auto"/>
          <w:lang w:eastAsia="en-GB"/>
        </w:rPr>
        <w:t>0</w:t>
      </w:r>
      <w:r>
        <w:rPr>
          <w:rFonts w:eastAsia="Times New Roman"/>
          <w:color w:val="auto"/>
          <w:lang w:eastAsia="en-GB"/>
        </w:rPr>
        <w:t>9</w:t>
      </w:r>
      <w:r w:rsidR="00B977E8">
        <w:rPr>
          <w:rFonts w:eastAsia="Times New Roman"/>
          <w:color w:val="auto"/>
          <w:lang w:eastAsia="en-GB"/>
        </w:rPr>
        <w:t xml:space="preserve"> </w:t>
      </w:r>
      <w:r w:rsidR="005C72F6" w:rsidRPr="0081254C">
        <w:rPr>
          <w:rFonts w:eastAsia="Times New Roman"/>
          <w:color w:val="auto"/>
          <w:lang w:eastAsia="en-GB"/>
        </w:rPr>
        <w:t>Recipient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5C72F6" w:rsidRPr="0081254C" w:rsidRDefault="00904C23" w:rsidP="003A2326">
      <w:pPr>
        <w:pStyle w:val="Heading2"/>
        <w:rPr>
          <w:rFonts w:eastAsia="Times New Roman"/>
          <w:color w:val="auto"/>
          <w:lang w:eastAsia="en-GB"/>
        </w:rPr>
      </w:pPr>
      <w:r>
        <w:rPr>
          <w:rFonts w:eastAsia="Times New Roman"/>
          <w:color w:val="auto"/>
          <w:lang w:eastAsia="en-GB"/>
        </w:rPr>
        <w:t>1.10</w:t>
      </w:r>
      <w:r w:rsidR="00B977E8">
        <w:rPr>
          <w:rFonts w:eastAsia="Times New Roman"/>
          <w:color w:val="auto"/>
          <w:lang w:eastAsia="en-GB"/>
        </w:rPr>
        <w:t xml:space="preserve"> </w:t>
      </w:r>
      <w:r w:rsidR="005C72F6" w:rsidRPr="0081254C">
        <w:rPr>
          <w:rFonts w:eastAsia="Times New Roman"/>
          <w:color w:val="auto"/>
          <w:lang w:eastAsia="en-GB"/>
        </w:rPr>
        <w:t>Third party</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Third party is a natural or legal person, public authority, agency or body other than the data subject, controller, processor and persons who, under the direct authority of the controller or processor, are authorised to process personal data.</w:t>
      </w:r>
    </w:p>
    <w:p w:rsidR="005C72F6" w:rsidRPr="0081254C" w:rsidRDefault="00904C23" w:rsidP="003A2326">
      <w:pPr>
        <w:pStyle w:val="Heading2"/>
        <w:rPr>
          <w:rFonts w:eastAsia="Times New Roman"/>
          <w:color w:val="auto"/>
          <w:lang w:eastAsia="en-GB"/>
        </w:rPr>
      </w:pPr>
      <w:r>
        <w:rPr>
          <w:rFonts w:eastAsia="Times New Roman"/>
          <w:color w:val="auto"/>
          <w:lang w:eastAsia="en-GB"/>
        </w:rPr>
        <w:t>1.1</w:t>
      </w:r>
      <w:r w:rsidR="00B977E8">
        <w:rPr>
          <w:rFonts w:eastAsia="Times New Roman"/>
          <w:color w:val="auto"/>
          <w:lang w:eastAsia="en-GB"/>
        </w:rPr>
        <w:t xml:space="preserve">2 </w:t>
      </w:r>
      <w:r w:rsidR="005C72F6" w:rsidRPr="0081254C">
        <w:rPr>
          <w:rFonts w:eastAsia="Times New Roman"/>
          <w:color w:val="auto"/>
          <w:lang w:eastAsia="en-GB"/>
        </w:rPr>
        <w:t>Consent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2. Name and Address of the controller</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Controller for the purposes of the General Data Protection Regulation (GDPR), other data protection laws applicable in Member states of the European Union and other provisions related to data protection is:</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lastRenderedPageBreak/>
        <w:t>Mountbatton Care</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62-68 Strand Road</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L20 4BG Liverpool</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UK</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Phone: 0151 920 5797</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Email: HR.support@mbcare.org</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Website: http://www.mountbattoncare.com/</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3. Name and Address of the Data Protection Officer</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The Data Protection Officer of the controller is:</w:t>
      </w:r>
    </w:p>
    <w:p w:rsidR="005C72F6" w:rsidRPr="0081254C" w:rsidRDefault="005C72F6" w:rsidP="003A2326">
      <w:pPr>
        <w:rPr>
          <w:rFonts w:ascii="Times New Roman" w:hAnsi="Times New Roman" w:cs="Times New Roman"/>
          <w:lang w:eastAsia="en-GB"/>
        </w:rPr>
      </w:pPr>
      <w:r w:rsidRPr="0081254C">
        <w:rPr>
          <w:rFonts w:ascii="Arial" w:hAnsi="Arial" w:cs="Arial"/>
          <w:sz w:val="21"/>
          <w:szCs w:val="21"/>
          <w:shd w:val="clear" w:color="auto" w:fill="FFFFFF"/>
          <w:lang w:eastAsia="en-GB"/>
        </w:rPr>
        <w:t>Mr James Croston</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Mountbatton Care</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62-68 Strand Road</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L20 4BG Liverpool</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UK</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Phone: 0151 920 5797</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Email: James@mbcare.org</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Website: http://www.mountbattoncare.com/</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Any data subject may, at any time, contact our Data Protection Officer directly with all questions and suggestions concerning data protection.</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4. Collection of general data and information</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The website of the Mountbatton Care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 xml:space="preserve">When using these general data and information, the Mountbatton Care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Mountbatton Care </w:t>
      </w:r>
      <w:r w:rsidR="00005F37" w:rsidRPr="0081254C">
        <w:rPr>
          <w:rFonts w:ascii="Arial" w:hAnsi="Arial" w:cs="Arial"/>
          <w:sz w:val="21"/>
          <w:szCs w:val="21"/>
          <w:lang w:eastAsia="en-GB"/>
        </w:rPr>
        <w:t>analyses</w:t>
      </w:r>
      <w:r w:rsidRPr="0081254C">
        <w:rPr>
          <w:rFonts w:ascii="Arial" w:hAnsi="Arial" w:cs="Arial"/>
          <w:sz w:val="21"/>
          <w:szCs w:val="21"/>
          <w:lang w:eastAsia="en-GB"/>
        </w:rPr>
        <w:t xml:space="preserve"> anonymously collected data </w:t>
      </w:r>
      <w:r w:rsidRPr="0081254C">
        <w:rPr>
          <w:rFonts w:ascii="Arial" w:hAnsi="Arial" w:cs="Arial"/>
          <w:sz w:val="21"/>
          <w:szCs w:val="21"/>
          <w:lang w:eastAsia="en-GB"/>
        </w:rPr>
        <w:lastRenderedPageBreak/>
        <w:t>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5. Contact possibility via the website</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The website of the Mountbatton Care 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6. Routine erasure and blocking of personal data</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If the storage purpose is not applicable, or if a storage period prescribed by the European legislator or another competent legislator expires, the personal data are routinely blocked or erased in accordance with legal requirements.</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7. Rights of the data subject</w:t>
      </w:r>
    </w:p>
    <w:p w:rsidR="005C72F6" w:rsidRPr="0081254C" w:rsidRDefault="00B977E8" w:rsidP="003A2326">
      <w:pPr>
        <w:pStyle w:val="Heading2"/>
        <w:rPr>
          <w:rFonts w:eastAsia="Times New Roman"/>
          <w:color w:val="auto"/>
          <w:lang w:eastAsia="en-GB"/>
        </w:rPr>
      </w:pPr>
      <w:r>
        <w:rPr>
          <w:rFonts w:eastAsia="Times New Roman"/>
          <w:color w:val="auto"/>
          <w:lang w:eastAsia="en-GB"/>
        </w:rPr>
        <w:t xml:space="preserve">7.1 </w:t>
      </w:r>
      <w:r w:rsidRPr="0081254C">
        <w:rPr>
          <w:rFonts w:eastAsia="Times New Roman"/>
          <w:color w:val="auto"/>
          <w:lang w:eastAsia="en-GB"/>
        </w:rPr>
        <w:t>Right</w:t>
      </w:r>
      <w:r w:rsidR="005C72F6" w:rsidRPr="0081254C">
        <w:rPr>
          <w:rFonts w:eastAsia="Times New Roman"/>
          <w:color w:val="auto"/>
          <w:lang w:eastAsia="en-GB"/>
        </w:rPr>
        <w:t xml:space="preserve"> of confirmation</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rsidR="005C72F6" w:rsidRPr="0081254C" w:rsidRDefault="00B977E8" w:rsidP="003A2326">
      <w:pPr>
        <w:pStyle w:val="Heading2"/>
        <w:rPr>
          <w:rFonts w:eastAsia="Times New Roman"/>
          <w:color w:val="auto"/>
          <w:lang w:eastAsia="en-GB"/>
        </w:rPr>
      </w:pPr>
      <w:r>
        <w:rPr>
          <w:rFonts w:eastAsia="Times New Roman"/>
          <w:color w:val="auto"/>
          <w:lang w:eastAsia="en-GB"/>
        </w:rPr>
        <w:t>7.2</w:t>
      </w:r>
      <w:r w:rsidR="005C72F6" w:rsidRPr="0081254C">
        <w:rPr>
          <w:rFonts w:eastAsia="Times New Roman"/>
          <w:color w:val="auto"/>
          <w:lang w:eastAsia="en-GB"/>
        </w:rPr>
        <w:t xml:space="preserve"> Right of access</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t>The</w:t>
      </w:r>
      <w:r w:rsidR="005C72F6" w:rsidRPr="0081254C">
        <w:rPr>
          <w:rFonts w:ascii="inherit" w:hAnsi="inherit" w:cs="Arial"/>
          <w:sz w:val="21"/>
          <w:szCs w:val="21"/>
          <w:lang w:eastAsia="en-GB"/>
        </w:rPr>
        <w:t xml:space="preserve"> purposes of the processing;</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t>The</w:t>
      </w:r>
      <w:r w:rsidR="005C72F6" w:rsidRPr="0081254C">
        <w:rPr>
          <w:rFonts w:ascii="inherit" w:hAnsi="inherit" w:cs="Arial"/>
          <w:sz w:val="21"/>
          <w:szCs w:val="21"/>
          <w:lang w:eastAsia="en-GB"/>
        </w:rPr>
        <w:t xml:space="preserve"> categories of personal data concerned;</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t>The</w:t>
      </w:r>
      <w:r w:rsidR="005C72F6" w:rsidRPr="0081254C">
        <w:rPr>
          <w:rFonts w:ascii="inherit" w:hAnsi="inherit" w:cs="Arial"/>
          <w:sz w:val="21"/>
          <w:szCs w:val="21"/>
          <w:lang w:eastAsia="en-GB"/>
        </w:rPr>
        <w:t xml:space="preserve"> recipients or categories of recipients to whom the personal data have been or will be disclosed, in particular recipients in third countries or international organisations;</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t>Where</w:t>
      </w:r>
      <w:r w:rsidR="005C72F6" w:rsidRPr="0081254C">
        <w:rPr>
          <w:rFonts w:ascii="inherit" w:hAnsi="inherit" w:cs="Arial"/>
          <w:sz w:val="21"/>
          <w:szCs w:val="21"/>
          <w:lang w:eastAsia="en-GB"/>
        </w:rPr>
        <w:t xml:space="preserve"> possible, the envisaged period for which the personal data will be stored, or, if not possible, the criteria used to determine that period;</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t>The</w:t>
      </w:r>
      <w:r w:rsidR="005C72F6" w:rsidRPr="0081254C">
        <w:rPr>
          <w:rFonts w:ascii="inherit" w:hAnsi="inherit" w:cs="Arial"/>
          <w:sz w:val="21"/>
          <w:szCs w:val="21"/>
          <w:lang w:eastAsia="en-GB"/>
        </w:rPr>
        <w:t xml:space="preserve"> existence of the right to request from the controller rectification or erasure of personal data, or restriction of processing of personal data concerning the data subject, or to object to such processing;</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lastRenderedPageBreak/>
        <w:t>The</w:t>
      </w:r>
      <w:r w:rsidR="005C72F6" w:rsidRPr="0081254C">
        <w:rPr>
          <w:rFonts w:ascii="inherit" w:hAnsi="inherit" w:cs="Arial"/>
          <w:sz w:val="21"/>
          <w:szCs w:val="21"/>
          <w:lang w:eastAsia="en-GB"/>
        </w:rPr>
        <w:t xml:space="preserve"> existence of the right to lodge a complaint with a supervisory authority;</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t>Where</w:t>
      </w:r>
      <w:r w:rsidR="005C72F6" w:rsidRPr="0081254C">
        <w:rPr>
          <w:rFonts w:ascii="inherit" w:hAnsi="inherit" w:cs="Arial"/>
          <w:sz w:val="21"/>
          <w:szCs w:val="21"/>
          <w:lang w:eastAsia="en-GB"/>
        </w:rPr>
        <w:t xml:space="preserve"> the personal data are not collected from the data subject, any available information as to their source;</w:t>
      </w:r>
    </w:p>
    <w:p w:rsidR="005C72F6" w:rsidRPr="0081254C" w:rsidRDefault="003A2326" w:rsidP="003A2326">
      <w:pPr>
        <w:rPr>
          <w:rFonts w:ascii="inherit" w:hAnsi="inherit" w:cs="Arial"/>
          <w:sz w:val="21"/>
          <w:szCs w:val="21"/>
          <w:lang w:eastAsia="en-GB"/>
        </w:rPr>
      </w:pPr>
      <w:r w:rsidRPr="0081254C">
        <w:rPr>
          <w:rFonts w:ascii="inherit" w:hAnsi="inherit" w:cs="Arial"/>
          <w:sz w:val="21"/>
          <w:szCs w:val="21"/>
          <w:lang w:eastAsia="en-GB"/>
        </w:rPr>
        <w:t>T</w:t>
      </w:r>
      <w:r w:rsidR="005C72F6" w:rsidRPr="0081254C">
        <w:rPr>
          <w:rFonts w:ascii="inherit" w:hAnsi="inherit" w:cs="Arial"/>
          <w:sz w:val="21"/>
          <w:szCs w:val="21"/>
          <w:lang w:eastAsia="en-GB"/>
        </w:rPr>
        <w: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If a data subject wishes to avail himself of this right of access, he or she may, at any time, contact any employee of the controller.</w:t>
      </w:r>
    </w:p>
    <w:p w:rsidR="005C72F6" w:rsidRPr="0081254C" w:rsidRDefault="00B977E8" w:rsidP="003A2326">
      <w:pPr>
        <w:pStyle w:val="Heading2"/>
        <w:rPr>
          <w:rFonts w:eastAsia="Times New Roman"/>
          <w:color w:val="auto"/>
          <w:lang w:eastAsia="en-GB"/>
        </w:rPr>
      </w:pPr>
      <w:r>
        <w:rPr>
          <w:rFonts w:eastAsia="Times New Roman"/>
          <w:color w:val="auto"/>
          <w:lang w:eastAsia="en-GB"/>
        </w:rPr>
        <w:t>7.3</w:t>
      </w:r>
      <w:r w:rsidR="005C72F6" w:rsidRPr="0081254C">
        <w:rPr>
          <w:rFonts w:eastAsia="Times New Roman"/>
          <w:color w:val="auto"/>
          <w:lang w:eastAsia="en-GB"/>
        </w:rPr>
        <w:t xml:space="preserve"> Right to rectification</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If a data subject wishes to exercise this right to rectification, he or she may, at any time, contact any employee of the controller.</w:t>
      </w:r>
    </w:p>
    <w:p w:rsidR="005C72F6" w:rsidRPr="0081254C" w:rsidRDefault="00B977E8" w:rsidP="003A2326">
      <w:pPr>
        <w:pStyle w:val="Heading2"/>
        <w:rPr>
          <w:rFonts w:eastAsia="Times New Roman"/>
          <w:color w:val="auto"/>
          <w:lang w:eastAsia="en-GB"/>
        </w:rPr>
      </w:pPr>
      <w:r>
        <w:rPr>
          <w:rFonts w:eastAsia="Times New Roman"/>
          <w:color w:val="auto"/>
          <w:lang w:eastAsia="en-GB"/>
        </w:rPr>
        <w:t>7.4</w:t>
      </w:r>
      <w:r w:rsidR="005C72F6" w:rsidRPr="0081254C">
        <w:rPr>
          <w:rFonts w:eastAsia="Times New Roman"/>
          <w:color w:val="auto"/>
          <w:lang w:eastAsia="en-GB"/>
        </w:rPr>
        <w:t xml:space="preserve"> Right to erasure (Right to be forgotten)</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personal data are no longer necessary in relation to the purposes for which they were collected or otherwise processed.</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data subject withdraws consent to which the processing is based according to point (a) of Article 6(1) of the GDPR, or point (a) of Article 9(2) of the GDPR, and where there is no other legal ground for the processing.</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data subject objects to the processing pursuant to Article 21(1) of the GDPR and there are no overriding legitimate grounds for the processing, or the data subject objects to the processing pursuant to Article 21(2) of the GDPR.</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personal data have been unlawfully processed.</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personal data must be erased for compliance with a legal obligation in Union or Member State law to which the controller is subject.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personal data have been collected in relation to the offer of information society services referred to in Article 8(1) of the GDPR.</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 xml:space="preserve">If one of the aforementioned reasons applies, and a data subject wishes to request the erasure of personal data stored by the Mountbatton Care, he or she may, at any time, contact any employee of the controller. </w:t>
      </w:r>
      <w:r w:rsidRPr="0081254C">
        <w:rPr>
          <w:rFonts w:ascii="inherit" w:hAnsi="inherit" w:cs="Arial"/>
          <w:sz w:val="21"/>
          <w:szCs w:val="21"/>
          <w:lang w:eastAsia="en-GB"/>
        </w:rPr>
        <w:lastRenderedPageBreak/>
        <w:t>An employee of Mountbatton Care shall promptly ensure that the erasure request is complied with immediately.</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w:t>
      </w:r>
      <w:r w:rsidR="00005F37" w:rsidRPr="0081254C">
        <w:rPr>
          <w:rFonts w:ascii="inherit" w:hAnsi="inherit" w:cs="Arial"/>
          <w:sz w:val="21"/>
          <w:szCs w:val="21"/>
          <w:lang w:eastAsia="en-GB"/>
        </w:rPr>
        <w:t>Employees</w:t>
      </w:r>
      <w:r w:rsidRPr="0081254C">
        <w:rPr>
          <w:rFonts w:ascii="inherit" w:hAnsi="inherit" w:cs="Arial"/>
          <w:sz w:val="21"/>
          <w:szCs w:val="21"/>
          <w:lang w:eastAsia="en-GB"/>
        </w:rPr>
        <w:t xml:space="preserve"> of the Mountbatton Care will arrange the necessary measures in individual cases.</w:t>
      </w:r>
    </w:p>
    <w:p w:rsidR="005C72F6" w:rsidRPr="0081254C" w:rsidRDefault="00005F37" w:rsidP="003A2326">
      <w:pPr>
        <w:pStyle w:val="Heading2"/>
        <w:rPr>
          <w:rFonts w:eastAsia="Times New Roman"/>
          <w:color w:val="auto"/>
          <w:lang w:eastAsia="en-GB"/>
        </w:rPr>
      </w:pPr>
      <w:r>
        <w:rPr>
          <w:rFonts w:eastAsia="Times New Roman"/>
          <w:color w:val="auto"/>
          <w:lang w:eastAsia="en-GB"/>
        </w:rPr>
        <w:t xml:space="preserve">7.5 </w:t>
      </w:r>
      <w:r w:rsidRPr="0081254C">
        <w:rPr>
          <w:rFonts w:eastAsia="Times New Roman"/>
          <w:color w:val="auto"/>
          <w:lang w:eastAsia="en-GB"/>
        </w:rPr>
        <w:t>Right</w:t>
      </w:r>
      <w:r w:rsidR="005C72F6" w:rsidRPr="0081254C">
        <w:rPr>
          <w:rFonts w:eastAsia="Times New Roman"/>
          <w:color w:val="auto"/>
          <w:lang w:eastAsia="en-GB"/>
        </w:rPr>
        <w:t xml:space="preserve"> of restriction of processing</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to obtain from the controller restriction of processing where one of the following applies:</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accuracy of the personal data is contested by the data subject, for a period enabling the controller to verify the accuracy of the personal data.</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processing is unlawful and the data subject opposes the erasure of the personal data and requests instead the restriction of their use instead.</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controller no longer needs the personal data for the purposes of the processing, but they are required by the data subject for the establishment, exercise or defence of legal claims.</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data subject has objected to processing pursuant to Article 21(1) of the GDPR pending the verification whether the legitimate grounds of the controller override those of the data subject.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If one of the aforementioned conditions is met, and a data subject wishes to request the restriction of the processing of personal data stored by the Mountbatton Care, he or she may at any time contact any employee of the controller. The employee of the Mountbatton Care will arrange the restriction of the processing.</w:t>
      </w:r>
    </w:p>
    <w:p w:rsidR="005C72F6" w:rsidRPr="0081254C" w:rsidRDefault="00B977E8" w:rsidP="003A2326">
      <w:pPr>
        <w:pStyle w:val="Heading2"/>
        <w:rPr>
          <w:rFonts w:eastAsia="Times New Roman"/>
          <w:color w:val="auto"/>
          <w:lang w:eastAsia="en-GB"/>
        </w:rPr>
      </w:pPr>
      <w:r>
        <w:rPr>
          <w:rFonts w:eastAsia="Times New Roman"/>
          <w:color w:val="auto"/>
          <w:lang w:eastAsia="en-GB"/>
        </w:rPr>
        <w:t>7.6</w:t>
      </w:r>
      <w:r w:rsidR="005C72F6" w:rsidRPr="0081254C">
        <w:rPr>
          <w:rFonts w:eastAsia="Times New Roman"/>
          <w:color w:val="auto"/>
          <w:lang w:eastAsia="en-GB"/>
        </w:rPr>
        <w:t xml:space="preserve"> Right to data portability</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In order to assert the right to data portability, the data subject may at any time contact any employee of the Mountbatton Care.</w:t>
      </w:r>
    </w:p>
    <w:p w:rsidR="005C72F6" w:rsidRPr="0081254C" w:rsidRDefault="00B977E8" w:rsidP="003A2326">
      <w:pPr>
        <w:pStyle w:val="Heading2"/>
        <w:rPr>
          <w:rFonts w:eastAsia="Times New Roman"/>
          <w:color w:val="auto"/>
          <w:lang w:eastAsia="en-GB"/>
        </w:rPr>
      </w:pPr>
      <w:r>
        <w:rPr>
          <w:rFonts w:eastAsia="Times New Roman"/>
          <w:color w:val="auto"/>
          <w:lang w:eastAsia="en-GB"/>
        </w:rPr>
        <w:t>7.7</w:t>
      </w:r>
      <w:r w:rsidR="005C72F6" w:rsidRPr="0081254C">
        <w:rPr>
          <w:rFonts w:eastAsia="Times New Roman"/>
          <w:color w:val="auto"/>
          <w:lang w:eastAsia="en-GB"/>
        </w:rPr>
        <w:t xml:space="preserve"> Right to object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 xml:space="preserve">Each data subject shall have the right granted by the European legislator to object, on grounds relating to his or her particular situation, at any time, to processing of personal data concerning him or her, which is </w:t>
      </w:r>
      <w:r w:rsidRPr="0081254C">
        <w:rPr>
          <w:rFonts w:ascii="inherit" w:hAnsi="inherit" w:cs="Arial"/>
          <w:sz w:val="21"/>
          <w:szCs w:val="21"/>
          <w:lang w:eastAsia="en-GB"/>
        </w:rPr>
        <w:lastRenderedPageBreak/>
        <w:t>based on point (e) or (f) of Article 6(1) of the GDPR. This also applies to profiling based on these provisions.</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The Mountbatton Care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If the Mountbatton Care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Mountbatton Care to the processing for direct marketing purposes, the Mountbatton Care will no longer process the personal data for these purposes.</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In addition, the data subject has the right, on grounds relating to his or her particular situation, to object to processing of personal data concerning him or her by the Mountbatton Care for scientific or historical research purposes, or for statistical purposes pursuant to Article 89(1) of the GDPR, unless the processing is necessary for the performance of a task carried out for reasons of public interest.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In order to exercise the right to object, the data subject may contact any employee of the Mountbatton Care. In addition, the data subject is free in the context of the use of information society services, and notwithstanding Directive 2002/58/EC, to use his or her right to object by automated means using technical specifications.</w:t>
      </w:r>
    </w:p>
    <w:p w:rsidR="005C72F6" w:rsidRPr="0081254C" w:rsidRDefault="00B977E8" w:rsidP="003A2326">
      <w:pPr>
        <w:pStyle w:val="Heading2"/>
        <w:rPr>
          <w:rFonts w:eastAsia="Times New Roman"/>
          <w:color w:val="auto"/>
          <w:lang w:eastAsia="en-GB"/>
        </w:rPr>
      </w:pPr>
      <w:r>
        <w:rPr>
          <w:rFonts w:eastAsia="Times New Roman"/>
          <w:color w:val="auto"/>
          <w:lang w:eastAsia="en-GB"/>
        </w:rPr>
        <w:t>7.8</w:t>
      </w:r>
      <w:r w:rsidR="005C72F6" w:rsidRPr="0081254C">
        <w:rPr>
          <w:rFonts w:eastAsia="Times New Roman"/>
          <w:color w:val="auto"/>
          <w:lang w:eastAsia="en-GB"/>
        </w:rPr>
        <w:t xml:space="preserve"> Automated individual decision-making, including profiling</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If the decision (1) is necessary for entering into, or the performance of, a contract between the data subject and a data controller, or (2) it is based on the data subject's explicit consent, the Mountbatton Care shall implement suitable measures to safeguard the data subject's rights and freedoms and legitimate interests, at least the right to obtain human intervention on the part of the controller, to express his or her point of view and contest the decision.</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If the data subject wishes to exercise the rights concerning automated individual decision-making, he or she may, at any time, contact any employee of the Mountbatton Care.</w:t>
      </w:r>
    </w:p>
    <w:p w:rsidR="005C72F6" w:rsidRPr="0081254C" w:rsidRDefault="00B977E8" w:rsidP="003A2326">
      <w:pPr>
        <w:pStyle w:val="Heading2"/>
        <w:rPr>
          <w:rFonts w:eastAsia="Times New Roman"/>
          <w:color w:val="auto"/>
          <w:lang w:eastAsia="en-GB"/>
        </w:rPr>
      </w:pPr>
      <w:r>
        <w:rPr>
          <w:rFonts w:eastAsia="Times New Roman"/>
          <w:color w:val="auto"/>
          <w:lang w:eastAsia="en-GB"/>
        </w:rPr>
        <w:t>7.9</w:t>
      </w:r>
      <w:r w:rsidR="005C72F6" w:rsidRPr="0081254C">
        <w:rPr>
          <w:rFonts w:eastAsia="Times New Roman"/>
          <w:color w:val="auto"/>
          <w:lang w:eastAsia="en-GB"/>
        </w:rPr>
        <w:t xml:space="preserve"> Right to withdraw data protection consent</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Each data subject shall have the right granted by the European legislator to withdraw his or her consent to processing of his or her personal data at any time.</w:t>
      </w:r>
    </w:p>
    <w:p w:rsidR="005C72F6" w:rsidRPr="0081254C" w:rsidRDefault="005C72F6" w:rsidP="003A2326">
      <w:pPr>
        <w:rPr>
          <w:rFonts w:ascii="inherit" w:hAnsi="inherit" w:cs="Arial"/>
          <w:sz w:val="21"/>
          <w:szCs w:val="21"/>
          <w:lang w:eastAsia="en-GB"/>
        </w:rPr>
      </w:pPr>
      <w:r w:rsidRPr="0081254C">
        <w:rPr>
          <w:rFonts w:ascii="inherit" w:hAnsi="inherit" w:cs="Arial"/>
          <w:sz w:val="21"/>
          <w:szCs w:val="21"/>
          <w:lang w:eastAsia="en-GB"/>
        </w:rPr>
        <w:t>If the data subject wishes to exercise the right to withdraw the consent, he or she may, at any time, contact any employee of the Mountbatton Care.</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8. Data protection for applications and the application procedures</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 xml:space="preserve">The data controller shall collect and process the personal data of applicants for the purpose of the processing of the application procedure. The processing may also be carried out </w:t>
      </w:r>
      <w:r w:rsidRPr="0081254C">
        <w:rPr>
          <w:rFonts w:ascii="Arial" w:hAnsi="Arial" w:cs="Arial"/>
          <w:sz w:val="21"/>
          <w:szCs w:val="21"/>
          <w:lang w:eastAsia="en-GB"/>
        </w:rPr>
        <w:lastRenderedPageBreak/>
        <w:t>electronically. This is the case, in particular, if an applicant submits corresponding application documents by e-mail or by means of a web form on the website to the controller. If the data controller concludes an employment contract with an applicant, the submitted data will be stored for the purpose of processing the employment relationship in compliance with legal requirements. If no employment contract is concluded with the applicant by the controller, the application documents shall be automatically erased two months after notification of the refusal decision, provided that no other legitimate interests of the controller are opposed to the erasure. Other legitimate interest in this relation is, e.g. a burden of proof in a procedure under the General Equal Treatment Act (AGG).</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9. Legal basis for the processing</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 xml:space="preserve">Art. 6(1) lit. </w:t>
      </w:r>
      <w:proofErr w:type="gramStart"/>
      <w:r w:rsidRPr="0081254C">
        <w:rPr>
          <w:rFonts w:ascii="Arial" w:hAnsi="Arial" w:cs="Arial"/>
          <w:sz w:val="21"/>
          <w:szCs w:val="21"/>
          <w:lang w:eastAsia="en-GB"/>
        </w:rPr>
        <w:t>a</w:t>
      </w:r>
      <w:proofErr w:type="gramEnd"/>
      <w:r w:rsidRPr="0081254C">
        <w:rPr>
          <w:rFonts w:ascii="Arial" w:hAnsi="Arial" w:cs="Arial"/>
          <w:sz w:val="21"/>
          <w:szCs w:val="21"/>
          <w:lang w:eastAsia="en-GB"/>
        </w:rPr>
        <w:t xml:space="preserve">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w:t>
      </w:r>
      <w:proofErr w:type="gramStart"/>
      <w:r w:rsidRPr="0081254C">
        <w:rPr>
          <w:rFonts w:ascii="Arial" w:hAnsi="Arial" w:cs="Arial"/>
          <w:sz w:val="21"/>
          <w:szCs w:val="21"/>
          <w:lang w:eastAsia="en-GB"/>
        </w:rPr>
        <w:t>b</w:t>
      </w:r>
      <w:proofErr w:type="gramEnd"/>
      <w:r w:rsidRPr="0081254C">
        <w:rPr>
          <w:rFonts w:ascii="Arial" w:hAnsi="Arial" w:cs="Arial"/>
          <w:sz w:val="21"/>
          <w:szCs w:val="21"/>
          <w:lang w:eastAsia="en-GB"/>
        </w:rPr>
        <w:t xml:space="preserve">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w:t>
      </w:r>
      <w:r w:rsidR="00005F37" w:rsidRPr="0081254C">
        <w:rPr>
          <w:rFonts w:ascii="Arial" w:hAnsi="Arial" w:cs="Arial"/>
          <w:sz w:val="21"/>
          <w:szCs w:val="21"/>
          <w:lang w:eastAsia="en-GB"/>
        </w:rPr>
        <w:t>fulfilment</w:t>
      </w:r>
      <w:r w:rsidRPr="0081254C">
        <w:rPr>
          <w:rFonts w:ascii="Arial" w:hAnsi="Arial" w:cs="Arial"/>
          <w:sz w:val="21"/>
          <w:szCs w:val="21"/>
          <w:lang w:eastAsia="en-GB"/>
        </w:rPr>
        <w:t xml:space="preserve"> of tax obligations, the processing is based on </w:t>
      </w:r>
      <w:proofErr w:type="gramStart"/>
      <w:r w:rsidRPr="0081254C">
        <w:rPr>
          <w:rFonts w:ascii="Arial" w:hAnsi="Arial" w:cs="Arial"/>
          <w:sz w:val="21"/>
          <w:szCs w:val="21"/>
          <w:lang w:eastAsia="en-GB"/>
        </w:rPr>
        <w:t>Art.</w:t>
      </w:r>
      <w:proofErr w:type="gramEnd"/>
      <w:r w:rsidRPr="0081254C">
        <w:rPr>
          <w:rFonts w:ascii="Arial" w:hAnsi="Arial" w:cs="Arial"/>
          <w:sz w:val="21"/>
          <w:szCs w:val="21"/>
          <w:lang w:eastAsia="en-GB"/>
        </w:rPr>
        <w:t xml:space="preserve"> 6(1) lit. </w:t>
      </w:r>
      <w:proofErr w:type="gramStart"/>
      <w:r w:rsidRPr="0081254C">
        <w:rPr>
          <w:rFonts w:ascii="Arial" w:hAnsi="Arial" w:cs="Arial"/>
          <w:sz w:val="21"/>
          <w:szCs w:val="21"/>
          <w:lang w:eastAsia="en-GB"/>
        </w:rPr>
        <w:t>c</w:t>
      </w:r>
      <w:proofErr w:type="gramEnd"/>
      <w:r w:rsidRPr="0081254C">
        <w:rPr>
          <w:rFonts w:ascii="Arial" w:hAnsi="Arial" w:cs="Arial"/>
          <w:sz w:val="21"/>
          <w:szCs w:val="21"/>
          <w:lang w:eastAsia="en-GB"/>
        </w:rPr>
        <w:t xml:space="preserve">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w:t>
      </w:r>
      <w:proofErr w:type="gramStart"/>
      <w:r w:rsidRPr="0081254C">
        <w:rPr>
          <w:rFonts w:ascii="Arial" w:hAnsi="Arial" w:cs="Arial"/>
          <w:sz w:val="21"/>
          <w:szCs w:val="21"/>
          <w:lang w:eastAsia="en-GB"/>
        </w:rPr>
        <w:t>d</w:t>
      </w:r>
      <w:proofErr w:type="gramEnd"/>
      <w:r w:rsidRPr="0081254C">
        <w:rPr>
          <w:rFonts w:ascii="Arial" w:hAnsi="Arial" w:cs="Arial"/>
          <w:sz w:val="21"/>
          <w:szCs w:val="21"/>
          <w:lang w:eastAsia="en-GB"/>
        </w:rPr>
        <w:t xml:space="preserve"> GDPR. Finally, processing operations could be based on Article 6(1) lit. </w:t>
      </w:r>
      <w:proofErr w:type="gramStart"/>
      <w:r w:rsidRPr="0081254C">
        <w:rPr>
          <w:rFonts w:ascii="Arial" w:hAnsi="Arial" w:cs="Arial"/>
          <w:sz w:val="21"/>
          <w:szCs w:val="21"/>
          <w:lang w:eastAsia="en-GB"/>
        </w:rPr>
        <w:t>f</w:t>
      </w:r>
      <w:proofErr w:type="gramEnd"/>
      <w:r w:rsidRPr="0081254C">
        <w:rPr>
          <w:rFonts w:ascii="Arial" w:hAnsi="Arial" w:cs="Arial"/>
          <w:sz w:val="21"/>
          <w:szCs w:val="21"/>
          <w:lang w:eastAsia="en-GB"/>
        </w:rPr>
        <w:t xml:space="preserve">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10. The legitimate interests pursued by the controller or by a third party</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 xml:space="preserve">Where the processing of personal data is based on Article 6(1) lit. </w:t>
      </w:r>
      <w:proofErr w:type="gramStart"/>
      <w:r w:rsidRPr="0081254C">
        <w:rPr>
          <w:rFonts w:ascii="Arial" w:hAnsi="Arial" w:cs="Arial"/>
          <w:sz w:val="21"/>
          <w:szCs w:val="21"/>
          <w:lang w:eastAsia="en-GB"/>
        </w:rPr>
        <w:t>f</w:t>
      </w:r>
      <w:proofErr w:type="gramEnd"/>
      <w:r w:rsidRPr="0081254C">
        <w:rPr>
          <w:rFonts w:ascii="Arial" w:hAnsi="Arial" w:cs="Arial"/>
          <w:sz w:val="21"/>
          <w:szCs w:val="21"/>
          <w:lang w:eastAsia="en-GB"/>
        </w:rPr>
        <w:t xml:space="preserve"> GDPR our legitimate interest is to carry out our business in </w:t>
      </w:r>
      <w:r w:rsidR="00005F37" w:rsidRPr="0081254C">
        <w:rPr>
          <w:rFonts w:ascii="Arial" w:hAnsi="Arial" w:cs="Arial"/>
          <w:sz w:val="21"/>
          <w:szCs w:val="21"/>
          <w:lang w:eastAsia="en-GB"/>
        </w:rPr>
        <w:t>favour</w:t>
      </w:r>
      <w:r w:rsidRPr="0081254C">
        <w:rPr>
          <w:rFonts w:ascii="Arial" w:hAnsi="Arial" w:cs="Arial"/>
          <w:sz w:val="21"/>
          <w:szCs w:val="21"/>
          <w:lang w:eastAsia="en-GB"/>
        </w:rPr>
        <w:t xml:space="preserve"> of the well-being of all our employees and the shareholders.</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11. Period for which th</w:t>
      </w:r>
      <w:bookmarkStart w:id="0" w:name="_GoBack"/>
      <w:bookmarkEnd w:id="0"/>
      <w:r w:rsidRPr="0081254C">
        <w:rPr>
          <w:rFonts w:eastAsia="Times New Roman"/>
          <w:color w:val="auto"/>
          <w:lang w:eastAsia="en-GB"/>
        </w:rPr>
        <w:t>e personal data will be stored</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 xml:space="preserve">The criteria used to determine the period of storage of personal data is the respective statutory retention period. After expiration of that period, the corresponding data is routinely deleted, as long as it is no longer necessary for the </w:t>
      </w:r>
      <w:r w:rsidR="003A2326" w:rsidRPr="0081254C">
        <w:rPr>
          <w:rFonts w:ascii="Arial" w:hAnsi="Arial" w:cs="Arial"/>
          <w:sz w:val="21"/>
          <w:szCs w:val="21"/>
          <w:lang w:eastAsia="en-GB"/>
        </w:rPr>
        <w:t>fulfilment</w:t>
      </w:r>
      <w:r w:rsidRPr="0081254C">
        <w:rPr>
          <w:rFonts w:ascii="Arial" w:hAnsi="Arial" w:cs="Arial"/>
          <w:sz w:val="21"/>
          <w:szCs w:val="21"/>
          <w:lang w:eastAsia="en-GB"/>
        </w:rPr>
        <w:t xml:space="preserve"> of the contract or the initiation of a contract.</w:t>
      </w:r>
    </w:p>
    <w:p w:rsidR="003A2326" w:rsidRPr="0081254C" w:rsidRDefault="005C72F6" w:rsidP="003A2326">
      <w:pPr>
        <w:pStyle w:val="Heading1"/>
        <w:rPr>
          <w:rFonts w:eastAsia="Times New Roman"/>
          <w:color w:val="auto"/>
          <w:lang w:eastAsia="en-GB"/>
        </w:rPr>
      </w:pPr>
      <w:r w:rsidRPr="0081254C">
        <w:rPr>
          <w:rFonts w:eastAsia="Times New Roman"/>
          <w:color w:val="auto"/>
          <w:lang w:eastAsia="en-GB"/>
        </w:rPr>
        <w:lastRenderedPageBreak/>
        <w:t>12. Provision of personal data as statu</w:t>
      </w:r>
      <w:r w:rsidR="003A2326" w:rsidRPr="0081254C">
        <w:rPr>
          <w:rFonts w:eastAsia="Times New Roman"/>
          <w:color w:val="auto"/>
          <w:lang w:eastAsia="en-GB"/>
        </w:rPr>
        <w:t>tory or contractual requirement;</w:t>
      </w:r>
    </w:p>
    <w:p w:rsidR="005C72F6" w:rsidRPr="0081254C" w:rsidRDefault="005C72F6" w:rsidP="003A2326">
      <w:pPr>
        <w:pStyle w:val="Subtitle"/>
        <w:rPr>
          <w:rFonts w:eastAsia="Times New Roman"/>
          <w:color w:val="auto"/>
          <w:lang w:eastAsia="en-GB"/>
        </w:rPr>
      </w:pPr>
      <w:r w:rsidRPr="0081254C">
        <w:rPr>
          <w:rFonts w:eastAsia="Times New Roman"/>
          <w:color w:val="auto"/>
          <w:lang w:eastAsia="en-GB"/>
        </w:rPr>
        <w:t>Requirement necessary to enter into a contract; Obligation of the data subject to provide the personal data; possible consequences of failure to provide such data</w:t>
      </w:r>
    </w:p>
    <w:p w:rsidR="005C72F6" w:rsidRPr="0081254C" w:rsidRDefault="005C72F6" w:rsidP="003A2326">
      <w:pPr>
        <w:rPr>
          <w:rFonts w:ascii="Arial" w:hAnsi="Arial" w:cs="Arial"/>
          <w:sz w:val="21"/>
          <w:szCs w:val="21"/>
          <w:lang w:eastAsia="en-GB"/>
        </w:rPr>
      </w:pPr>
      <w:r w:rsidRPr="0081254C">
        <w:rPr>
          <w:rFonts w:ascii="Arial" w:hAnsi="Arial" w:cs="Arial"/>
          <w:sz w:val="21"/>
          <w:szCs w:val="21"/>
          <w:lang w:eastAsia="en-GB"/>
        </w:rPr>
        <w:t>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rsidR="005C72F6" w:rsidRPr="0081254C" w:rsidRDefault="005C72F6" w:rsidP="003A2326">
      <w:pPr>
        <w:pStyle w:val="Heading1"/>
        <w:rPr>
          <w:rFonts w:eastAsia="Times New Roman"/>
          <w:color w:val="auto"/>
          <w:lang w:eastAsia="en-GB"/>
        </w:rPr>
      </w:pPr>
      <w:r w:rsidRPr="0081254C">
        <w:rPr>
          <w:rFonts w:eastAsia="Times New Roman"/>
          <w:color w:val="auto"/>
          <w:lang w:eastAsia="en-GB"/>
        </w:rPr>
        <w:t>13. Existence of automated decision-making</w:t>
      </w:r>
    </w:p>
    <w:p w:rsidR="00CA7571" w:rsidRPr="0081254C" w:rsidRDefault="005C72F6" w:rsidP="003A2326">
      <w:pPr>
        <w:rPr>
          <w:rFonts w:ascii="Arial" w:hAnsi="Arial" w:cs="Arial"/>
          <w:sz w:val="21"/>
          <w:szCs w:val="21"/>
          <w:lang w:eastAsia="en-GB"/>
        </w:rPr>
      </w:pPr>
      <w:r w:rsidRPr="0081254C">
        <w:rPr>
          <w:rFonts w:ascii="Arial" w:hAnsi="Arial" w:cs="Arial"/>
          <w:sz w:val="21"/>
          <w:szCs w:val="21"/>
          <w:lang w:eastAsia="en-GB"/>
        </w:rPr>
        <w:t>As a responsible company, we do not use automatic decision-making or profiling.</w:t>
      </w:r>
    </w:p>
    <w:sectPr w:rsidR="00CA7571" w:rsidRPr="00812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428A"/>
    <w:multiLevelType w:val="multilevel"/>
    <w:tmpl w:val="EB70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9643A"/>
    <w:multiLevelType w:val="multilevel"/>
    <w:tmpl w:val="C1BA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F6"/>
    <w:rsid w:val="00005F37"/>
    <w:rsid w:val="003A2326"/>
    <w:rsid w:val="005C72F6"/>
    <w:rsid w:val="0081254C"/>
    <w:rsid w:val="00904C23"/>
    <w:rsid w:val="00B977E8"/>
    <w:rsid w:val="00CA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3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C72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72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C7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72F6"/>
    <w:rPr>
      <w:color w:val="0000FF"/>
      <w:u w:val="single"/>
    </w:rPr>
  </w:style>
  <w:style w:type="character" w:customStyle="1" w:styleId="Heading1Char">
    <w:name w:val="Heading 1 Char"/>
    <w:basedOn w:val="DefaultParagraphFont"/>
    <w:link w:val="Heading1"/>
    <w:uiPriority w:val="9"/>
    <w:rsid w:val="003A232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A2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3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A23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2326"/>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A2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32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3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C72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72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C7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72F6"/>
    <w:rPr>
      <w:color w:val="0000FF"/>
      <w:u w:val="single"/>
    </w:rPr>
  </w:style>
  <w:style w:type="character" w:customStyle="1" w:styleId="Heading1Char">
    <w:name w:val="Heading 1 Char"/>
    <w:basedOn w:val="DefaultParagraphFont"/>
    <w:link w:val="Heading1"/>
    <w:uiPriority w:val="9"/>
    <w:rsid w:val="003A232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A2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3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A23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2326"/>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A2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32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6</cp:revision>
  <dcterms:created xsi:type="dcterms:W3CDTF">2018-06-05T18:23:00Z</dcterms:created>
  <dcterms:modified xsi:type="dcterms:W3CDTF">2018-06-05T18:44:00Z</dcterms:modified>
</cp:coreProperties>
</file>